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46" w:rsidRPr="00801646" w:rsidRDefault="00801646" w:rsidP="0080164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01646">
        <w:rPr>
          <w:rFonts w:ascii="Times New Roman" w:hAnsi="Times New Roman" w:cs="Times New Roman"/>
          <w:sz w:val="28"/>
          <w:szCs w:val="28"/>
        </w:rPr>
        <w:t>Algebra II / Math II</w:t>
      </w:r>
      <w:r w:rsidR="00DD0ABC">
        <w:rPr>
          <w:rFonts w:ascii="Times New Roman" w:hAnsi="Times New Roman" w:cs="Times New Roman"/>
          <w:sz w:val="28"/>
          <w:szCs w:val="28"/>
        </w:rPr>
        <w:t xml:space="preserve">    </w:t>
      </w:r>
      <w:r w:rsidRPr="00801646">
        <w:rPr>
          <w:rFonts w:ascii="Times New Roman" w:hAnsi="Times New Roman" w:cs="Times New Roman"/>
          <w:sz w:val="28"/>
          <w:szCs w:val="28"/>
        </w:rPr>
        <w:t>Conditional Probability Standards</w:t>
      </w:r>
    </w:p>
    <w:p w:rsidR="00801646" w:rsidRDefault="00801646" w:rsidP="00801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646" w:rsidRDefault="00680F85" w:rsidP="009B1C9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</w:t>
      </w:r>
      <w:r w:rsidR="00801646" w:rsidRPr="00801646">
        <w:rPr>
          <w:rFonts w:ascii="Times New Roman" w:hAnsi="Times New Roman" w:cs="Times New Roman"/>
          <w:sz w:val="28"/>
          <w:szCs w:val="28"/>
        </w:rPr>
        <w:t xml:space="preserve"> 498 students </w:t>
      </w:r>
      <w:r>
        <w:rPr>
          <w:rFonts w:ascii="Times New Roman" w:hAnsi="Times New Roman" w:cs="Times New Roman"/>
          <w:sz w:val="28"/>
          <w:szCs w:val="28"/>
        </w:rPr>
        <w:t>from an elementary school were</w:t>
      </w:r>
      <w:r w:rsidR="00801646" w:rsidRPr="00801646">
        <w:rPr>
          <w:rFonts w:ascii="Times New Roman" w:hAnsi="Times New Roman" w:cs="Times New Roman"/>
          <w:sz w:val="28"/>
          <w:szCs w:val="28"/>
        </w:rPr>
        <w:t xml:space="preserve"> asked whether they preferred reading fiction or non-fiction.   Of the 262 girls, 202 prefer fiction.  </w:t>
      </w:r>
      <w:r w:rsidR="006E7DE8">
        <w:rPr>
          <w:rFonts w:ascii="Times New Roman" w:hAnsi="Times New Roman" w:cs="Times New Roman"/>
          <w:sz w:val="28"/>
          <w:szCs w:val="28"/>
        </w:rPr>
        <w:t xml:space="preserve"> 164 of the 236 boys prefer non-</w:t>
      </w:r>
      <w:r w:rsidR="00801646" w:rsidRPr="00801646">
        <w:rPr>
          <w:rFonts w:ascii="Times New Roman" w:hAnsi="Times New Roman" w:cs="Times New Roman"/>
          <w:sz w:val="28"/>
          <w:szCs w:val="28"/>
        </w:rPr>
        <w:t>fiction.</w:t>
      </w:r>
    </w:p>
    <w:p w:rsidR="00116694" w:rsidRPr="00801646" w:rsidRDefault="00116694" w:rsidP="008016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1646" w:rsidRPr="00116694" w:rsidRDefault="00116694" w:rsidP="0080164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16694">
        <w:rPr>
          <w:rFonts w:ascii="Times New Roman" w:hAnsi="Times New Roman" w:cs="Times New Roman"/>
          <w:sz w:val="28"/>
          <w:szCs w:val="28"/>
        </w:rPr>
        <w:t xml:space="preserve">Complete the table.  </w:t>
      </w:r>
      <w:r>
        <w:rPr>
          <w:rFonts w:ascii="Times New Roman" w:hAnsi="Times New Roman" w:cs="Times New Roman"/>
          <w:sz w:val="28"/>
          <w:szCs w:val="28"/>
        </w:rPr>
        <w:t xml:space="preserve"> Include counts in the chart, tree and Venn Diagram.</w:t>
      </w:r>
    </w:p>
    <w:tbl>
      <w:tblPr>
        <w:tblStyle w:val="TableGrid"/>
        <w:tblW w:w="14940" w:type="dxa"/>
        <w:tblInd w:w="-162" w:type="dxa"/>
        <w:tblLook w:val="04A0" w:firstRow="1" w:lastRow="0" w:firstColumn="1" w:lastColumn="0" w:noHBand="0" w:noVBand="1"/>
      </w:tblPr>
      <w:tblGrid>
        <w:gridCol w:w="7470"/>
        <w:gridCol w:w="7470"/>
      </w:tblGrid>
      <w:tr w:rsidR="00801646" w:rsidTr="00DA6AA2">
        <w:trPr>
          <w:trHeight w:val="4850"/>
        </w:trPr>
        <w:tc>
          <w:tcPr>
            <w:tcW w:w="7470" w:type="dxa"/>
          </w:tcPr>
          <w:p w:rsidR="00801646" w:rsidRDefault="00DD0ABC" w:rsidP="00801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a student from this </w:t>
            </w:r>
            <w:r w:rsidR="00680F8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selected at random find the probability that:</w:t>
            </w:r>
          </w:p>
          <w:p w:rsidR="001C0BF8" w:rsidRDefault="001C0BF8" w:rsidP="00801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46" w:rsidRDefault="001C0BF8" w:rsidP="001C0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P(Male) =  ____________          P(Female) = _____________</w:t>
            </w:r>
          </w:p>
          <w:p w:rsidR="001C0BF8" w:rsidRDefault="001C0BF8" w:rsidP="001C0BF8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F8" w:rsidRDefault="001C0BF8" w:rsidP="001C0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P(Fiction) = ___________          P(Non</w:t>
            </w:r>
            <w:r w:rsidR="006E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Fiction) = _________</w:t>
            </w:r>
          </w:p>
          <w:p w:rsidR="001C0BF8" w:rsidRDefault="001C0BF8" w:rsidP="001C0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F8" w:rsidRDefault="006E7DE8" w:rsidP="001C0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P(Non-</w:t>
            </w:r>
            <w:r w:rsidR="001C0BF8">
              <w:rPr>
                <w:rFonts w:ascii="Times New Roman" w:hAnsi="Times New Roman" w:cs="Times New Roman"/>
                <w:sz w:val="24"/>
                <w:szCs w:val="24"/>
              </w:rPr>
              <w:t>Fiction | Male) = ___________</w:t>
            </w:r>
          </w:p>
          <w:p w:rsidR="001C0BF8" w:rsidRDefault="001C0BF8" w:rsidP="001C0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46" w:rsidRDefault="006E7DE8" w:rsidP="00801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P(Non-</w:t>
            </w:r>
            <w:r w:rsidR="001C0BF8">
              <w:rPr>
                <w:rFonts w:ascii="Times New Roman" w:hAnsi="Times New Roman" w:cs="Times New Roman"/>
                <w:sz w:val="24"/>
                <w:szCs w:val="24"/>
              </w:rPr>
              <w:t>Fiction | Female) = __________</w:t>
            </w:r>
          </w:p>
          <w:p w:rsidR="00801646" w:rsidRDefault="00801646" w:rsidP="00801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46" w:rsidRDefault="001C0BF8" w:rsidP="00801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the same proportion of males </w:t>
            </w:r>
            <w:r w:rsidR="006E7DE8">
              <w:rPr>
                <w:rFonts w:ascii="Times New Roman" w:hAnsi="Times New Roman" w:cs="Times New Roman"/>
                <w:sz w:val="24"/>
                <w:szCs w:val="24"/>
              </w:rPr>
              <w:t>and females prefer non-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fiction? ______</w:t>
            </w:r>
          </w:p>
          <w:p w:rsidR="00801646" w:rsidRDefault="00801646" w:rsidP="00801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46" w:rsidRDefault="001C0BF8" w:rsidP="00801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</w:t>
            </w:r>
            <w:proofErr w:type="gramStart"/>
            <w:r w:rsidR="006E7DE8">
              <w:rPr>
                <w:rFonts w:ascii="Times New Roman" w:hAnsi="Times New Roman" w:cs="Times New Roman"/>
                <w:sz w:val="24"/>
                <w:szCs w:val="24"/>
              </w:rPr>
              <w:t>P(</w:t>
            </w:r>
            <w:proofErr w:type="gramEnd"/>
            <w:r w:rsidR="006E7DE8"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Fiction | Male) = </w:t>
            </w:r>
            <w:r w:rsidR="006E7DE8">
              <w:rPr>
                <w:rFonts w:ascii="Times New Roman" w:hAnsi="Times New Roman" w:cs="Times New Roman"/>
                <w:sz w:val="24"/>
                <w:szCs w:val="24"/>
              </w:rPr>
              <w:t>P(Non-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Fiction | Female) = P(Non</w:t>
            </w:r>
            <w:r w:rsidR="006E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Fiction)?</w:t>
            </w:r>
          </w:p>
          <w:p w:rsidR="00801646" w:rsidRDefault="00801646" w:rsidP="00801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46" w:rsidRDefault="006E7DE8" w:rsidP="006E7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Based on the data, are boys at this elementary school more likely to prefer non-fiction, or is the preference of non-fiction independent of gender?</w:t>
            </w:r>
          </w:p>
          <w:p w:rsidR="006E7DE8" w:rsidRDefault="006E7DE8" w:rsidP="006E7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470" w:type="dxa"/>
          </w:tcPr>
          <w:p w:rsidR="00801646" w:rsidRDefault="00DD0ABC" w:rsidP="00DD0A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8640" w:dyaOrig="6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2.75pt;height:237pt" o:ole="">
                  <v:imagedata r:id="rId6" o:title=""/>
                </v:shape>
                <o:OLEObject Type="Embed" ProgID="PBrush" ShapeID="_x0000_i1025" DrawAspect="Content" ObjectID="_1472131372" r:id="rId7"/>
              </w:object>
            </w:r>
          </w:p>
        </w:tc>
      </w:tr>
      <w:tr w:rsidR="00801646" w:rsidTr="006E7DE8">
        <w:tc>
          <w:tcPr>
            <w:tcW w:w="7470" w:type="dxa"/>
          </w:tcPr>
          <w:p w:rsidR="00801646" w:rsidRDefault="00801646" w:rsidP="00801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BC" w:rsidRDefault="00DD0ABC" w:rsidP="00801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09"/>
              <w:gridCol w:w="1498"/>
              <w:gridCol w:w="1620"/>
              <w:gridCol w:w="1530"/>
            </w:tblGrid>
            <w:tr w:rsidR="00DD0ABC" w:rsidTr="00DD0ABC">
              <w:tc>
                <w:tcPr>
                  <w:tcW w:w="1809" w:type="dxa"/>
                  <w:tcBorders>
                    <w:top w:val="nil"/>
                    <w:left w:val="nil"/>
                  </w:tcBorders>
                </w:tcPr>
                <w:p w:rsidR="00DD0ABC" w:rsidRPr="00DD0ABC" w:rsidRDefault="00DD0ABC" w:rsidP="00801646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8" w:type="dxa"/>
                  <w:shd w:val="clear" w:color="auto" w:fill="DBE5F1" w:themeFill="accent1" w:themeFillTint="33"/>
                </w:tcPr>
                <w:p w:rsidR="00DD0ABC" w:rsidRPr="00DD0ABC" w:rsidRDefault="00DD0ABC" w:rsidP="00DD0AB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0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Fiction</w:t>
                  </w:r>
                </w:p>
              </w:tc>
              <w:tc>
                <w:tcPr>
                  <w:tcW w:w="1620" w:type="dxa"/>
                  <w:shd w:val="clear" w:color="auto" w:fill="DBE5F1" w:themeFill="accent1" w:themeFillTint="33"/>
                </w:tcPr>
                <w:p w:rsidR="00DD0ABC" w:rsidRPr="00DD0ABC" w:rsidRDefault="00DD0ABC" w:rsidP="00DD0AB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0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Non-Fiction</w:t>
                  </w:r>
                </w:p>
              </w:tc>
              <w:tc>
                <w:tcPr>
                  <w:tcW w:w="1530" w:type="dxa"/>
                  <w:shd w:val="clear" w:color="auto" w:fill="DBE5F1" w:themeFill="accent1" w:themeFillTint="33"/>
                </w:tcPr>
                <w:p w:rsidR="00DD0ABC" w:rsidRPr="00DD0ABC" w:rsidRDefault="00DD0ABC" w:rsidP="00DD0AB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0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Total</w:t>
                  </w:r>
                </w:p>
              </w:tc>
            </w:tr>
            <w:tr w:rsidR="00DD0ABC" w:rsidTr="00DD0ABC">
              <w:tc>
                <w:tcPr>
                  <w:tcW w:w="1809" w:type="dxa"/>
                  <w:vAlign w:val="center"/>
                </w:tcPr>
                <w:p w:rsidR="00DD0ABC" w:rsidRPr="00DD0ABC" w:rsidRDefault="00DD0ABC" w:rsidP="00DD0ABC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0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Male</w:t>
                  </w:r>
                </w:p>
              </w:tc>
              <w:tc>
                <w:tcPr>
                  <w:tcW w:w="1498" w:type="dxa"/>
                </w:tcPr>
                <w:p w:rsidR="00DD0ABC" w:rsidRPr="00DD0ABC" w:rsidRDefault="00DD0ABC" w:rsidP="00DD0AB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620" w:type="dxa"/>
                </w:tcPr>
                <w:p w:rsidR="00DD0ABC" w:rsidRPr="00DD0ABC" w:rsidRDefault="00DD0ABC" w:rsidP="00DD0AB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530" w:type="dxa"/>
                </w:tcPr>
                <w:p w:rsidR="00DD0ABC" w:rsidRPr="00DD0ABC" w:rsidRDefault="00DD0ABC" w:rsidP="00DD0AB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DD0ABC" w:rsidTr="00DD0ABC">
              <w:tc>
                <w:tcPr>
                  <w:tcW w:w="1809" w:type="dxa"/>
                  <w:vAlign w:val="center"/>
                </w:tcPr>
                <w:p w:rsidR="00DD0ABC" w:rsidRPr="00DD0ABC" w:rsidRDefault="00DD0ABC" w:rsidP="00DD0ABC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0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Female</w:t>
                  </w:r>
                </w:p>
              </w:tc>
              <w:tc>
                <w:tcPr>
                  <w:tcW w:w="1498" w:type="dxa"/>
                </w:tcPr>
                <w:p w:rsidR="00DD0ABC" w:rsidRPr="00DD0ABC" w:rsidRDefault="00DD0ABC" w:rsidP="00DD0AB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620" w:type="dxa"/>
                </w:tcPr>
                <w:p w:rsidR="00DD0ABC" w:rsidRPr="00DD0ABC" w:rsidRDefault="00DD0ABC" w:rsidP="00DD0AB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530" w:type="dxa"/>
                </w:tcPr>
                <w:p w:rsidR="00DD0ABC" w:rsidRPr="00DD0ABC" w:rsidRDefault="00DD0ABC" w:rsidP="00DD0AB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DD0ABC" w:rsidTr="00DD0ABC">
              <w:tc>
                <w:tcPr>
                  <w:tcW w:w="1809" w:type="dxa"/>
                  <w:vAlign w:val="center"/>
                </w:tcPr>
                <w:p w:rsidR="00DD0ABC" w:rsidRPr="00DD0ABC" w:rsidRDefault="00DD0ABC" w:rsidP="00DD0ABC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0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498" w:type="dxa"/>
                </w:tcPr>
                <w:p w:rsidR="00DD0ABC" w:rsidRPr="00DD0ABC" w:rsidRDefault="00DD0ABC" w:rsidP="00DD0AB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620" w:type="dxa"/>
                </w:tcPr>
                <w:p w:rsidR="00DD0ABC" w:rsidRPr="00DD0ABC" w:rsidRDefault="00DD0ABC" w:rsidP="00DD0AB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530" w:type="dxa"/>
                </w:tcPr>
                <w:p w:rsidR="00DD0ABC" w:rsidRPr="00DD0ABC" w:rsidRDefault="00DD0ABC" w:rsidP="00DD0AB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801646" w:rsidRDefault="00801646" w:rsidP="00801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46" w:rsidRDefault="00801646" w:rsidP="00801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46" w:rsidRDefault="00801646" w:rsidP="00801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46" w:rsidRDefault="00801646" w:rsidP="00801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46" w:rsidRDefault="00801646" w:rsidP="00801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4" w:rsidRDefault="00116694" w:rsidP="00801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46" w:rsidRDefault="00801646" w:rsidP="00801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46" w:rsidRDefault="00801646" w:rsidP="00801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801646" w:rsidRDefault="00801646" w:rsidP="001C0BF8">
            <w:pPr>
              <w:pStyle w:val="NoSpacing"/>
              <w:jc w:val="center"/>
            </w:pPr>
          </w:p>
          <w:p w:rsidR="00A35538" w:rsidRDefault="00A35538" w:rsidP="001C0B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7425" w:dyaOrig="4680">
                <v:shape id="_x0000_i1026" type="#_x0000_t75" style="width:300pt;height:189pt" o:ole="">
                  <v:imagedata r:id="rId8" o:title=""/>
                </v:shape>
                <o:OLEObject Type="Embed" ProgID="PBrush" ShapeID="_x0000_i1026" DrawAspect="Content" ObjectID="_1472131373" r:id="rId9"/>
              </w:object>
            </w:r>
          </w:p>
        </w:tc>
      </w:tr>
    </w:tbl>
    <w:p w:rsidR="00801646" w:rsidRDefault="000D2E5D" w:rsidP="00A35538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D2E5D">
        <w:rPr>
          <w:rFonts w:ascii="Times New Roman" w:hAnsi="Times New Roman" w:cs="Times New Roman"/>
          <w:sz w:val="28"/>
          <w:szCs w:val="28"/>
        </w:rPr>
        <w:lastRenderedPageBreak/>
        <w:t xml:space="preserve">Are high school seniors more likely to own a </w:t>
      </w:r>
      <w:r w:rsidR="004C2925">
        <w:rPr>
          <w:rFonts w:ascii="Times New Roman" w:hAnsi="Times New Roman" w:cs="Times New Roman"/>
          <w:sz w:val="28"/>
          <w:szCs w:val="28"/>
        </w:rPr>
        <w:t>smartphone</w:t>
      </w:r>
      <w:r w:rsidRPr="000D2E5D">
        <w:rPr>
          <w:rFonts w:ascii="Times New Roman" w:hAnsi="Times New Roman" w:cs="Times New Roman"/>
          <w:sz w:val="28"/>
          <w:szCs w:val="28"/>
        </w:rPr>
        <w:t xml:space="preserve"> than other high school students?  </w:t>
      </w:r>
      <w:r>
        <w:rPr>
          <w:rFonts w:ascii="Times New Roman" w:hAnsi="Times New Roman" w:cs="Times New Roman"/>
          <w:sz w:val="28"/>
          <w:szCs w:val="28"/>
        </w:rPr>
        <w:t>Or</w:t>
      </w:r>
      <w:r w:rsidR="004C2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2925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>owning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</w:t>
      </w:r>
      <w:r w:rsidR="004C2925">
        <w:rPr>
          <w:rFonts w:ascii="Times New Roman" w:hAnsi="Times New Roman" w:cs="Times New Roman"/>
          <w:sz w:val="28"/>
          <w:szCs w:val="28"/>
        </w:rPr>
        <w:t xml:space="preserve">smartphone independent of </w:t>
      </w:r>
      <w:r>
        <w:rPr>
          <w:rFonts w:ascii="Times New Roman" w:hAnsi="Times New Roman" w:cs="Times New Roman"/>
          <w:sz w:val="28"/>
          <w:szCs w:val="28"/>
        </w:rPr>
        <w:t xml:space="preserve">high school grade?  </w:t>
      </w:r>
      <w:r w:rsidR="00680F85" w:rsidRPr="000D2E5D">
        <w:rPr>
          <w:rFonts w:ascii="Times New Roman" w:hAnsi="Times New Roman" w:cs="Times New Roman"/>
          <w:sz w:val="28"/>
          <w:szCs w:val="28"/>
        </w:rPr>
        <w:t xml:space="preserve">A sample of 240 high school students was asked if they owned a </w:t>
      </w:r>
      <w:r w:rsidR="004C2925">
        <w:rPr>
          <w:rFonts w:ascii="Times New Roman" w:hAnsi="Times New Roman" w:cs="Times New Roman"/>
          <w:sz w:val="28"/>
          <w:szCs w:val="28"/>
        </w:rPr>
        <w:t>smartphone</w:t>
      </w:r>
      <w:r w:rsidR="00680F85" w:rsidRPr="000D2E5D">
        <w:rPr>
          <w:rFonts w:ascii="Times New Roman" w:hAnsi="Times New Roman" w:cs="Times New Roman"/>
          <w:sz w:val="28"/>
          <w:szCs w:val="28"/>
        </w:rPr>
        <w:t xml:space="preserve">.  Their responses are recorded in the </w:t>
      </w:r>
      <w:r w:rsidRPr="000D2E5D">
        <w:rPr>
          <w:rFonts w:ascii="Times New Roman" w:hAnsi="Times New Roman" w:cs="Times New Roman"/>
          <w:sz w:val="28"/>
          <w:szCs w:val="28"/>
        </w:rPr>
        <w:t>chart</w:t>
      </w:r>
      <w:r w:rsidR="00680F85" w:rsidRPr="000D2E5D">
        <w:rPr>
          <w:rFonts w:ascii="Times New Roman" w:hAnsi="Times New Roman" w:cs="Times New Roman"/>
          <w:sz w:val="28"/>
          <w:szCs w:val="28"/>
        </w:rPr>
        <w:t xml:space="preserve"> below.</w:t>
      </w:r>
      <w:r w:rsidRPr="000D2E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2E5D" w:rsidRPr="000D2E5D" w:rsidRDefault="000D2E5D" w:rsidP="000D2E5D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DD0ABC" w:rsidRPr="00116694" w:rsidRDefault="00DD0ABC" w:rsidP="00DD0AB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16694">
        <w:rPr>
          <w:rFonts w:ascii="Times New Roman" w:hAnsi="Times New Roman" w:cs="Times New Roman"/>
          <w:sz w:val="28"/>
          <w:szCs w:val="28"/>
        </w:rPr>
        <w:t xml:space="preserve">Complete the table.  </w:t>
      </w:r>
      <w:r>
        <w:rPr>
          <w:rFonts w:ascii="Times New Roman" w:hAnsi="Times New Roman" w:cs="Times New Roman"/>
          <w:sz w:val="28"/>
          <w:szCs w:val="28"/>
        </w:rPr>
        <w:t xml:space="preserve"> Include counts in the </w:t>
      </w:r>
      <w:r w:rsidR="00842987">
        <w:rPr>
          <w:rFonts w:ascii="Times New Roman" w:hAnsi="Times New Roman" w:cs="Times New Roman"/>
          <w:sz w:val="28"/>
          <w:szCs w:val="28"/>
        </w:rPr>
        <w:t xml:space="preserve">tree, </w:t>
      </w:r>
      <w:r>
        <w:rPr>
          <w:rFonts w:ascii="Times New Roman" w:hAnsi="Times New Roman" w:cs="Times New Roman"/>
          <w:sz w:val="28"/>
          <w:szCs w:val="28"/>
        </w:rPr>
        <w:t>provide the indicated probabilities</w:t>
      </w:r>
      <w:r w:rsidR="00842987">
        <w:rPr>
          <w:rFonts w:ascii="Times New Roman" w:hAnsi="Times New Roman" w:cs="Times New Roman"/>
          <w:sz w:val="28"/>
          <w:szCs w:val="28"/>
        </w:rPr>
        <w:t>, and answer the questions below.</w:t>
      </w:r>
    </w:p>
    <w:tbl>
      <w:tblPr>
        <w:tblStyle w:val="TableGrid"/>
        <w:tblW w:w="14940" w:type="dxa"/>
        <w:tblInd w:w="-162" w:type="dxa"/>
        <w:tblLook w:val="04A0" w:firstRow="1" w:lastRow="0" w:firstColumn="1" w:lastColumn="0" w:noHBand="0" w:noVBand="1"/>
      </w:tblPr>
      <w:tblGrid>
        <w:gridCol w:w="7451"/>
        <w:gridCol w:w="7489"/>
      </w:tblGrid>
      <w:tr w:rsidR="00680F85" w:rsidTr="00090A29">
        <w:tc>
          <w:tcPr>
            <w:tcW w:w="7470" w:type="dxa"/>
          </w:tcPr>
          <w:p w:rsidR="00680F85" w:rsidRDefault="00680F85" w:rsidP="00090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D2E5D" w:rsidRDefault="000D2E5D" w:rsidP="00090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09"/>
              <w:gridCol w:w="1498"/>
              <w:gridCol w:w="1620"/>
              <w:gridCol w:w="1530"/>
            </w:tblGrid>
            <w:tr w:rsidR="00680F85" w:rsidTr="006E020B">
              <w:tc>
                <w:tcPr>
                  <w:tcW w:w="1809" w:type="dxa"/>
                  <w:tcBorders>
                    <w:top w:val="nil"/>
                    <w:left w:val="nil"/>
                    <w:bottom w:val="nil"/>
                  </w:tcBorders>
                </w:tcPr>
                <w:p w:rsidR="00680F85" w:rsidRPr="00DD0ABC" w:rsidRDefault="00680F85" w:rsidP="00090A29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48" w:type="dxa"/>
                  <w:gridSpan w:val="3"/>
                  <w:shd w:val="clear" w:color="auto" w:fill="DBE5F1" w:themeFill="accent1" w:themeFillTint="33"/>
                </w:tcPr>
                <w:p w:rsidR="00680F85" w:rsidRPr="00DD0ABC" w:rsidRDefault="00680F85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Do you own a </w:t>
                  </w:r>
                  <w:r w:rsidR="004C29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smartphone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  <w:tr w:rsidR="004C2925" w:rsidTr="00680F85">
              <w:tc>
                <w:tcPr>
                  <w:tcW w:w="1809" w:type="dxa"/>
                  <w:tcBorders>
                    <w:top w:val="nil"/>
                    <w:left w:val="nil"/>
                  </w:tcBorders>
                </w:tcPr>
                <w:p w:rsidR="00680F85" w:rsidRPr="00DD0ABC" w:rsidRDefault="00680F85" w:rsidP="00090A29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8" w:type="dxa"/>
                  <w:shd w:val="clear" w:color="auto" w:fill="DBE5F1" w:themeFill="accent1" w:themeFillTint="33"/>
                </w:tcPr>
                <w:p w:rsidR="00680F85" w:rsidRPr="00DD0ABC" w:rsidRDefault="00680F85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Yes</w:t>
                  </w:r>
                </w:p>
              </w:tc>
              <w:tc>
                <w:tcPr>
                  <w:tcW w:w="1620" w:type="dxa"/>
                  <w:shd w:val="clear" w:color="auto" w:fill="DBE5F1" w:themeFill="accent1" w:themeFillTint="33"/>
                </w:tcPr>
                <w:p w:rsidR="00680F85" w:rsidRPr="00DD0ABC" w:rsidRDefault="00680F85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No</w:t>
                  </w:r>
                </w:p>
              </w:tc>
              <w:tc>
                <w:tcPr>
                  <w:tcW w:w="1530" w:type="dxa"/>
                  <w:shd w:val="clear" w:color="auto" w:fill="DBE5F1" w:themeFill="accent1" w:themeFillTint="33"/>
                </w:tcPr>
                <w:p w:rsidR="00680F85" w:rsidRPr="00DD0ABC" w:rsidRDefault="00680F85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0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Total</w:t>
                  </w:r>
                </w:p>
              </w:tc>
            </w:tr>
            <w:tr w:rsidR="00680F85" w:rsidTr="00090A29">
              <w:tc>
                <w:tcPr>
                  <w:tcW w:w="1809" w:type="dxa"/>
                  <w:vAlign w:val="center"/>
                </w:tcPr>
                <w:p w:rsidR="00680F85" w:rsidRPr="00DD0ABC" w:rsidRDefault="00680F85" w:rsidP="00090A29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680F85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Grade</w:t>
                  </w:r>
                </w:p>
              </w:tc>
              <w:tc>
                <w:tcPr>
                  <w:tcW w:w="1498" w:type="dxa"/>
                </w:tcPr>
                <w:p w:rsidR="00680F85" w:rsidRPr="00DD0ABC" w:rsidRDefault="000D2E5D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195</w:t>
                  </w:r>
                </w:p>
              </w:tc>
              <w:tc>
                <w:tcPr>
                  <w:tcW w:w="1620" w:type="dxa"/>
                </w:tcPr>
                <w:p w:rsidR="00680F85" w:rsidRPr="00DD0ABC" w:rsidRDefault="00053ECE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109</w:t>
                  </w:r>
                </w:p>
              </w:tc>
              <w:tc>
                <w:tcPr>
                  <w:tcW w:w="1530" w:type="dxa"/>
                </w:tcPr>
                <w:p w:rsidR="00680F85" w:rsidRPr="00DD0ABC" w:rsidRDefault="00680F85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304</w:t>
                  </w:r>
                </w:p>
              </w:tc>
            </w:tr>
            <w:tr w:rsidR="00680F85" w:rsidTr="00090A29">
              <w:tc>
                <w:tcPr>
                  <w:tcW w:w="1809" w:type="dxa"/>
                  <w:vAlign w:val="center"/>
                </w:tcPr>
                <w:p w:rsidR="00680F85" w:rsidRPr="00DD0ABC" w:rsidRDefault="00680F85" w:rsidP="00090A29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Pr="00680F85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Grade</w:t>
                  </w:r>
                </w:p>
              </w:tc>
              <w:tc>
                <w:tcPr>
                  <w:tcW w:w="1498" w:type="dxa"/>
                </w:tcPr>
                <w:p w:rsidR="00680F85" w:rsidRPr="00DD0ABC" w:rsidRDefault="00053ECE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183</w:t>
                  </w:r>
                </w:p>
              </w:tc>
              <w:tc>
                <w:tcPr>
                  <w:tcW w:w="1620" w:type="dxa"/>
                </w:tcPr>
                <w:p w:rsidR="00680F85" w:rsidRPr="00DD0ABC" w:rsidRDefault="00053ECE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103</w:t>
                  </w:r>
                </w:p>
              </w:tc>
              <w:tc>
                <w:tcPr>
                  <w:tcW w:w="1530" w:type="dxa"/>
                </w:tcPr>
                <w:p w:rsidR="00680F85" w:rsidRPr="00DD0ABC" w:rsidRDefault="00680F85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286</w:t>
                  </w:r>
                </w:p>
              </w:tc>
            </w:tr>
            <w:tr w:rsidR="00680F85" w:rsidTr="00090A29">
              <w:tc>
                <w:tcPr>
                  <w:tcW w:w="1809" w:type="dxa"/>
                  <w:vAlign w:val="center"/>
                </w:tcPr>
                <w:p w:rsidR="00680F85" w:rsidRPr="00DD0ABC" w:rsidRDefault="00680F85" w:rsidP="00090A29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Pr="00680F85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Grade</w:t>
                  </w:r>
                </w:p>
              </w:tc>
              <w:tc>
                <w:tcPr>
                  <w:tcW w:w="1498" w:type="dxa"/>
                </w:tcPr>
                <w:p w:rsidR="00680F85" w:rsidRPr="00DD0ABC" w:rsidRDefault="00053ECE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173</w:t>
                  </w:r>
                </w:p>
              </w:tc>
              <w:tc>
                <w:tcPr>
                  <w:tcW w:w="1620" w:type="dxa"/>
                </w:tcPr>
                <w:p w:rsidR="00680F85" w:rsidRPr="00DD0ABC" w:rsidRDefault="00053ECE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97</w:t>
                  </w:r>
                </w:p>
              </w:tc>
              <w:tc>
                <w:tcPr>
                  <w:tcW w:w="1530" w:type="dxa"/>
                </w:tcPr>
                <w:p w:rsidR="00680F85" w:rsidRPr="00DD0ABC" w:rsidRDefault="000D2E5D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270</w:t>
                  </w:r>
                </w:p>
              </w:tc>
            </w:tr>
            <w:tr w:rsidR="00680F85" w:rsidTr="00090A29">
              <w:tc>
                <w:tcPr>
                  <w:tcW w:w="1809" w:type="dxa"/>
                  <w:vAlign w:val="center"/>
                </w:tcPr>
                <w:p w:rsidR="00680F85" w:rsidRPr="00DD0ABC" w:rsidRDefault="00680F85" w:rsidP="00090A29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Pr="00680F85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Grade</w:t>
                  </w:r>
                </w:p>
              </w:tc>
              <w:tc>
                <w:tcPr>
                  <w:tcW w:w="1498" w:type="dxa"/>
                </w:tcPr>
                <w:p w:rsidR="00680F85" w:rsidRPr="00DD0ABC" w:rsidRDefault="00053ECE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154</w:t>
                  </w:r>
                </w:p>
              </w:tc>
              <w:tc>
                <w:tcPr>
                  <w:tcW w:w="1620" w:type="dxa"/>
                </w:tcPr>
                <w:p w:rsidR="00680F85" w:rsidRPr="00DD0ABC" w:rsidRDefault="00053ECE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86</w:t>
                  </w:r>
                </w:p>
              </w:tc>
              <w:tc>
                <w:tcPr>
                  <w:tcW w:w="1530" w:type="dxa"/>
                </w:tcPr>
                <w:p w:rsidR="00680F85" w:rsidRPr="00DD0ABC" w:rsidRDefault="00680F85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240</w:t>
                  </w:r>
                </w:p>
              </w:tc>
            </w:tr>
            <w:tr w:rsidR="00680F85" w:rsidTr="00090A29">
              <w:tc>
                <w:tcPr>
                  <w:tcW w:w="1809" w:type="dxa"/>
                  <w:vAlign w:val="center"/>
                </w:tcPr>
                <w:p w:rsidR="00680F85" w:rsidRPr="00DD0ABC" w:rsidRDefault="00680F85" w:rsidP="00090A29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0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498" w:type="dxa"/>
                </w:tcPr>
                <w:p w:rsidR="00680F85" w:rsidRPr="00DD0ABC" w:rsidRDefault="00053ECE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705</w:t>
                  </w:r>
                </w:p>
              </w:tc>
              <w:tc>
                <w:tcPr>
                  <w:tcW w:w="1620" w:type="dxa"/>
                </w:tcPr>
                <w:p w:rsidR="00680F85" w:rsidRPr="00DD0ABC" w:rsidRDefault="00053ECE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395</w:t>
                  </w:r>
                </w:p>
              </w:tc>
              <w:tc>
                <w:tcPr>
                  <w:tcW w:w="1530" w:type="dxa"/>
                </w:tcPr>
                <w:p w:rsidR="00680F85" w:rsidRPr="00DD0ABC" w:rsidRDefault="00053ECE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1100</w:t>
                  </w:r>
                </w:p>
              </w:tc>
            </w:tr>
          </w:tbl>
          <w:p w:rsidR="00680F85" w:rsidRDefault="00680F85" w:rsidP="00090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ECE" w:rsidRDefault="00053ECE" w:rsidP="00090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CE" w:rsidRDefault="00053ECE" w:rsidP="00090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680F85" w:rsidRDefault="004C2925" w:rsidP="00191D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9300" w:dyaOrig="6495">
                <v:shape id="_x0000_i1027" type="#_x0000_t75" style="width:363.75pt;height:254.25pt" o:ole="">
                  <v:imagedata r:id="rId10" o:title=""/>
                </v:shape>
                <o:OLEObject Type="Embed" ProgID="PBrush" ShapeID="_x0000_i1027" DrawAspect="Content" ObjectID="_1472131374" r:id="rId11"/>
              </w:object>
            </w:r>
          </w:p>
        </w:tc>
      </w:tr>
      <w:tr w:rsidR="00680F85" w:rsidTr="00090A29">
        <w:tc>
          <w:tcPr>
            <w:tcW w:w="7470" w:type="dxa"/>
          </w:tcPr>
          <w:p w:rsidR="00680F85" w:rsidRDefault="00680F85" w:rsidP="00090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 student from this sample is selected at random find the probability that:</w:t>
            </w:r>
          </w:p>
          <w:p w:rsidR="00680F85" w:rsidRDefault="00680F85" w:rsidP="00090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85" w:rsidRDefault="00680F85" w:rsidP="000D2E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</w:t>
            </w:r>
            <w:r w:rsidR="004C2925">
              <w:rPr>
                <w:rFonts w:ascii="Times New Roman" w:hAnsi="Times New Roman" w:cs="Times New Roman"/>
                <w:sz w:val="24"/>
                <w:szCs w:val="24"/>
              </w:rPr>
              <w:t>Smartphone) = 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80F85" w:rsidRDefault="00680F85" w:rsidP="00090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85" w:rsidRDefault="00680F85" w:rsidP="00090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</w:t>
            </w:r>
            <w:r w:rsidR="004C2925">
              <w:rPr>
                <w:rFonts w:ascii="Times New Roman" w:hAnsi="Times New Roman" w:cs="Times New Roman"/>
                <w:sz w:val="24"/>
                <w:szCs w:val="24"/>
              </w:rPr>
              <w:t>Smartphone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r w:rsidR="000D2E5D"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  <w:r w:rsidR="004C2925">
              <w:rPr>
                <w:rFonts w:ascii="Times New Roman" w:hAnsi="Times New Roman" w:cs="Times New Roman"/>
                <w:sz w:val="24"/>
                <w:szCs w:val="24"/>
              </w:rPr>
              <w:t xml:space="preserve">) = ________     </w:t>
            </w:r>
            <w:r w:rsidR="000D2E5D">
              <w:rPr>
                <w:rFonts w:ascii="Times New Roman" w:hAnsi="Times New Roman" w:cs="Times New Roman"/>
                <w:sz w:val="24"/>
                <w:szCs w:val="24"/>
              </w:rPr>
              <w:t xml:space="preserve">  P(</w:t>
            </w:r>
            <w:r w:rsidR="004C2925">
              <w:rPr>
                <w:rFonts w:ascii="Times New Roman" w:hAnsi="Times New Roman" w:cs="Times New Roman"/>
                <w:sz w:val="24"/>
                <w:szCs w:val="24"/>
              </w:rPr>
              <w:t>Smartphone</w:t>
            </w:r>
            <w:r w:rsidR="000D2E5D">
              <w:rPr>
                <w:rFonts w:ascii="Times New Roman" w:hAnsi="Times New Roman" w:cs="Times New Roman"/>
                <w:sz w:val="24"/>
                <w:szCs w:val="24"/>
              </w:rPr>
              <w:t xml:space="preserve"> | 10th</w:t>
            </w:r>
            <w:r w:rsidR="004C2925">
              <w:rPr>
                <w:rFonts w:ascii="Times New Roman" w:hAnsi="Times New Roman" w:cs="Times New Roman"/>
                <w:sz w:val="24"/>
                <w:szCs w:val="24"/>
              </w:rPr>
              <w:t>) = _______</w:t>
            </w:r>
          </w:p>
          <w:p w:rsidR="00680F85" w:rsidRDefault="00680F85" w:rsidP="00090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5D" w:rsidRDefault="000D2E5D" w:rsidP="000D2E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</w:t>
            </w:r>
            <w:r w:rsidR="004C2925">
              <w:rPr>
                <w:rFonts w:ascii="Times New Roman" w:hAnsi="Times New Roman" w:cs="Times New Roman"/>
                <w:sz w:val="24"/>
                <w:szCs w:val="24"/>
              </w:rPr>
              <w:t>Smartphone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| 11th</w:t>
            </w:r>
            <w:r w:rsidR="004C2925">
              <w:rPr>
                <w:rFonts w:ascii="Times New Roman" w:hAnsi="Times New Roman" w:cs="Times New Roman"/>
                <w:sz w:val="24"/>
                <w:szCs w:val="24"/>
              </w:rPr>
              <w:t xml:space="preserve">) = _______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P(</w:t>
            </w:r>
            <w:r w:rsidR="004C2925">
              <w:rPr>
                <w:rFonts w:ascii="Times New Roman" w:hAnsi="Times New Roman" w:cs="Times New Roman"/>
                <w:sz w:val="24"/>
                <w:szCs w:val="24"/>
              </w:rPr>
              <w:t>Smartphone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| 12th</w:t>
            </w:r>
            <w:r w:rsidR="00C92BB1">
              <w:rPr>
                <w:rFonts w:ascii="Times New Roman" w:hAnsi="Times New Roman" w:cs="Times New Roman"/>
                <w:sz w:val="24"/>
                <w:szCs w:val="24"/>
              </w:rPr>
              <w:t>) = _______</w:t>
            </w:r>
          </w:p>
          <w:p w:rsidR="00680F85" w:rsidRDefault="00680F85" w:rsidP="00090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85" w:rsidRDefault="004C2925" w:rsidP="00053E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Based on </w:t>
            </w:r>
            <w:r w:rsidR="00053ECE">
              <w:rPr>
                <w:rFonts w:ascii="Times New Roman" w:hAnsi="Times New Roman" w:cs="Times New Roman"/>
                <w:sz w:val="24"/>
                <w:szCs w:val="24"/>
              </w:rPr>
              <w:t xml:space="preserve">your work above, </w:t>
            </w:r>
            <w:proofErr w:type="gramStart"/>
            <w:r w:rsidR="00053ECE">
              <w:rPr>
                <w:rFonts w:ascii="Times New Roman" w:hAnsi="Times New Roman" w:cs="Times New Roman"/>
                <w:sz w:val="24"/>
                <w:szCs w:val="24"/>
              </w:rPr>
              <w:t>is owning</w:t>
            </w:r>
            <w:proofErr w:type="gramEnd"/>
            <w:r w:rsidR="00053EC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smartphone independent of </w:t>
            </w:r>
            <w:r w:rsidR="00053ECE">
              <w:rPr>
                <w:rFonts w:ascii="Times New Roman" w:hAnsi="Times New Roman" w:cs="Times New Roman"/>
                <w:sz w:val="24"/>
                <w:szCs w:val="24"/>
              </w:rPr>
              <w:t>high school grade?    Support your answer using probability reasoning.</w:t>
            </w:r>
          </w:p>
          <w:p w:rsidR="00053ECE" w:rsidRDefault="00053ECE" w:rsidP="00053E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CE" w:rsidRDefault="00053ECE" w:rsidP="00053E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CE" w:rsidRDefault="00053ECE" w:rsidP="00053E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CE" w:rsidRDefault="00053ECE" w:rsidP="00053E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CE" w:rsidRDefault="00053ECE" w:rsidP="00053E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CE" w:rsidRDefault="00053ECE" w:rsidP="00053E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CE" w:rsidRDefault="00053ECE" w:rsidP="00053E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191DB9" w:rsidRDefault="00191DB9" w:rsidP="00191D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Multiply down the branches to find the following probability:</w:t>
            </w:r>
          </w:p>
          <w:p w:rsidR="00191DB9" w:rsidRDefault="00191DB9" w:rsidP="00191DB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DB9" w:rsidRDefault="00191DB9" w:rsidP="00191DB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DB9" w:rsidRPr="00191DB9" w:rsidRDefault="00191DB9" w:rsidP="00191DB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12th ∩Smartphone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=____________</m:t>
                </m:r>
              </m:oMath>
            </m:oMathPara>
          </w:p>
          <w:p w:rsidR="00191DB9" w:rsidRDefault="00191DB9" w:rsidP="00191DB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DB9" w:rsidRDefault="00191DB9" w:rsidP="00191DB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Does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w:proofErr w:type="gramEnd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12th ∩Smart Phone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12th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∙P(Smartphone)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?</w:t>
            </w:r>
          </w:p>
          <w:p w:rsidR="00191DB9" w:rsidRDefault="00191DB9" w:rsidP="00191DB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Show work to support your answer.</w:t>
            </w:r>
          </w:p>
          <w:p w:rsidR="00191DB9" w:rsidRDefault="00191DB9" w:rsidP="00191DB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DB9" w:rsidRDefault="00191DB9" w:rsidP="00191DB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DB9" w:rsidRDefault="00191DB9" w:rsidP="00191DB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DB9" w:rsidRDefault="00191DB9" w:rsidP="00191DB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DB9" w:rsidRDefault="00191DB9" w:rsidP="00191DB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DB9" w:rsidRDefault="00191DB9" w:rsidP="00191DB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DB9" w:rsidRDefault="00191DB9" w:rsidP="00191DB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If </w:t>
            </w:r>
            <w:proofErr w:type="gramEnd"/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12th ∩Smartphone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12th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∙P(Smartphone)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what can you conclude?</w:t>
            </w:r>
          </w:p>
          <w:p w:rsidR="00191DB9" w:rsidRPr="00191DB9" w:rsidRDefault="00191DB9" w:rsidP="00191D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B1C91" w:rsidRDefault="009B1C91" w:rsidP="00801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C91" w:rsidRDefault="009B1C91" w:rsidP="00801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940" w:type="dxa"/>
        <w:tblInd w:w="-162" w:type="dxa"/>
        <w:tblLook w:val="04A0" w:firstRow="1" w:lastRow="0" w:firstColumn="1" w:lastColumn="0" w:noHBand="0" w:noVBand="1"/>
      </w:tblPr>
      <w:tblGrid>
        <w:gridCol w:w="7470"/>
        <w:gridCol w:w="7470"/>
      </w:tblGrid>
      <w:tr w:rsidR="0049598F" w:rsidTr="00090A29">
        <w:tc>
          <w:tcPr>
            <w:tcW w:w="7470" w:type="dxa"/>
          </w:tcPr>
          <w:p w:rsidR="0049598F" w:rsidRDefault="0049598F" w:rsidP="004959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</w:p>
          <w:p w:rsidR="0049598F" w:rsidRDefault="0049598F" w:rsidP="004959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8F" w:rsidRDefault="0049598F" w:rsidP="004959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8F" w:rsidRPr="0049598F" w:rsidRDefault="0049598F" w:rsidP="0049598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8F" w:rsidRPr="0049598F" w:rsidRDefault="0049598F" w:rsidP="0049598F">
            <w:pPr>
              <w:pStyle w:val="NoSpacing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8F" w:rsidRPr="0049598F" w:rsidRDefault="0049598F" w:rsidP="0049598F">
            <w:pPr>
              <w:pStyle w:val="NoSpacing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8F">
              <w:rPr>
                <w:rFonts w:ascii="Times New Roman" w:hAnsi="Times New Roman" w:cs="Times New Roman"/>
                <w:sz w:val="28"/>
                <w:szCs w:val="28"/>
              </w:rPr>
              <w:t>A sample of 480 adults 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Pr="0049598F">
              <w:rPr>
                <w:rFonts w:ascii="Times New Roman" w:hAnsi="Times New Roman" w:cs="Times New Roman"/>
                <w:sz w:val="28"/>
                <w:szCs w:val="28"/>
              </w:rPr>
              <w:t xml:space="preserve"> asked if they smoke and if they like country music.  Complete the tree, chart and Venn Diagram with possible counts if smoking is independent of liking country music.</w:t>
            </w:r>
          </w:p>
          <w:p w:rsidR="0049598F" w:rsidRDefault="0049598F" w:rsidP="00090A29">
            <w:pPr>
              <w:pStyle w:val="NoSpacing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470" w:type="dxa"/>
          </w:tcPr>
          <w:p w:rsidR="0049598F" w:rsidRDefault="00F76DD0" w:rsidP="00090A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8145" w:dyaOrig="5985">
                <v:shape id="_x0000_i1028" type="#_x0000_t75" style="width:334.5pt;height:246pt" o:ole="">
                  <v:imagedata r:id="rId12" o:title=""/>
                </v:shape>
                <o:OLEObject Type="Embed" ProgID="PBrush" ShapeID="_x0000_i1028" DrawAspect="Content" ObjectID="_1472131375" r:id="rId13"/>
              </w:object>
            </w:r>
          </w:p>
        </w:tc>
      </w:tr>
      <w:tr w:rsidR="0049598F" w:rsidTr="00090A29">
        <w:tc>
          <w:tcPr>
            <w:tcW w:w="7470" w:type="dxa"/>
          </w:tcPr>
          <w:p w:rsidR="0049598F" w:rsidRDefault="0049598F" w:rsidP="00090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8F" w:rsidRDefault="0049598F" w:rsidP="00090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5"/>
              <w:gridCol w:w="1498"/>
              <w:gridCol w:w="1620"/>
              <w:gridCol w:w="1530"/>
            </w:tblGrid>
            <w:tr w:rsidR="00F76DD0" w:rsidTr="00A35538">
              <w:tc>
                <w:tcPr>
                  <w:tcW w:w="2385" w:type="dxa"/>
                  <w:tcBorders>
                    <w:top w:val="nil"/>
                    <w:left w:val="nil"/>
                  </w:tcBorders>
                </w:tcPr>
                <w:p w:rsidR="0049598F" w:rsidRPr="00DD0ABC" w:rsidRDefault="0049598F" w:rsidP="00090A29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8" w:type="dxa"/>
                  <w:shd w:val="clear" w:color="auto" w:fill="DBE5F1" w:themeFill="accent1" w:themeFillTint="33"/>
                  <w:vAlign w:val="center"/>
                </w:tcPr>
                <w:p w:rsidR="0049598F" w:rsidRPr="00DD0ABC" w:rsidRDefault="00A35538" w:rsidP="00A3553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Smokes</w:t>
                  </w:r>
                </w:p>
              </w:tc>
              <w:tc>
                <w:tcPr>
                  <w:tcW w:w="1620" w:type="dxa"/>
                  <w:shd w:val="clear" w:color="auto" w:fill="DBE5F1" w:themeFill="accent1" w:themeFillTint="33"/>
                  <w:vAlign w:val="center"/>
                </w:tcPr>
                <w:p w:rsidR="0049598F" w:rsidRDefault="00A35538" w:rsidP="00A3553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Does Not</w:t>
                  </w:r>
                </w:p>
                <w:p w:rsidR="00A35538" w:rsidRPr="00DD0ABC" w:rsidRDefault="00A35538" w:rsidP="00A3553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Smoke</w:t>
                  </w:r>
                </w:p>
              </w:tc>
              <w:tc>
                <w:tcPr>
                  <w:tcW w:w="1530" w:type="dxa"/>
                  <w:shd w:val="clear" w:color="auto" w:fill="DBE5F1" w:themeFill="accent1" w:themeFillTint="33"/>
                  <w:vAlign w:val="center"/>
                </w:tcPr>
                <w:p w:rsidR="0049598F" w:rsidRPr="00DD0ABC" w:rsidRDefault="0049598F" w:rsidP="00A3553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0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Total</w:t>
                  </w:r>
                </w:p>
              </w:tc>
            </w:tr>
            <w:tr w:rsidR="0049598F" w:rsidTr="00A35538">
              <w:tc>
                <w:tcPr>
                  <w:tcW w:w="2385" w:type="dxa"/>
                  <w:vAlign w:val="center"/>
                </w:tcPr>
                <w:p w:rsidR="0049598F" w:rsidRDefault="00F76DD0" w:rsidP="00090A29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Likes</w:t>
                  </w:r>
                </w:p>
                <w:p w:rsidR="00A35538" w:rsidRPr="00DD0ABC" w:rsidRDefault="00A35538" w:rsidP="00090A29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Country Music</w:t>
                  </w:r>
                </w:p>
              </w:tc>
              <w:tc>
                <w:tcPr>
                  <w:tcW w:w="1498" w:type="dxa"/>
                </w:tcPr>
                <w:p w:rsidR="0049598F" w:rsidRPr="00DD0ABC" w:rsidRDefault="0049598F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620" w:type="dxa"/>
                </w:tcPr>
                <w:p w:rsidR="0049598F" w:rsidRPr="00DD0ABC" w:rsidRDefault="0049598F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530" w:type="dxa"/>
                </w:tcPr>
                <w:p w:rsidR="0049598F" w:rsidRPr="00DD0ABC" w:rsidRDefault="0049598F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49598F" w:rsidTr="00A35538">
              <w:tc>
                <w:tcPr>
                  <w:tcW w:w="2385" w:type="dxa"/>
                  <w:vAlign w:val="center"/>
                </w:tcPr>
                <w:p w:rsidR="0049598F" w:rsidRDefault="00A35538" w:rsidP="00090A29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Does Not Like</w:t>
                  </w:r>
                </w:p>
                <w:p w:rsidR="00A35538" w:rsidRPr="00DD0ABC" w:rsidRDefault="00A35538" w:rsidP="00090A29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Country Music</w:t>
                  </w:r>
                </w:p>
              </w:tc>
              <w:tc>
                <w:tcPr>
                  <w:tcW w:w="1498" w:type="dxa"/>
                </w:tcPr>
                <w:p w:rsidR="0049598F" w:rsidRPr="00DD0ABC" w:rsidRDefault="0049598F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620" w:type="dxa"/>
                </w:tcPr>
                <w:p w:rsidR="0049598F" w:rsidRPr="00DD0ABC" w:rsidRDefault="0049598F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530" w:type="dxa"/>
                </w:tcPr>
                <w:p w:rsidR="0049598F" w:rsidRPr="00DD0ABC" w:rsidRDefault="0049598F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49598F" w:rsidTr="00A35538">
              <w:trPr>
                <w:trHeight w:val="638"/>
              </w:trPr>
              <w:tc>
                <w:tcPr>
                  <w:tcW w:w="2385" w:type="dxa"/>
                  <w:vAlign w:val="center"/>
                </w:tcPr>
                <w:p w:rsidR="00A35538" w:rsidRPr="00DD0ABC" w:rsidRDefault="0049598F" w:rsidP="00A35538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0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498" w:type="dxa"/>
                </w:tcPr>
                <w:p w:rsidR="0049598F" w:rsidRPr="00DD0ABC" w:rsidRDefault="0049598F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620" w:type="dxa"/>
                </w:tcPr>
                <w:p w:rsidR="0049598F" w:rsidRPr="00DD0ABC" w:rsidRDefault="0049598F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530" w:type="dxa"/>
                </w:tcPr>
                <w:p w:rsidR="0049598F" w:rsidRPr="00DD0ABC" w:rsidRDefault="0049598F" w:rsidP="00090A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49598F" w:rsidRDefault="0049598F" w:rsidP="00090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8F" w:rsidRDefault="0049598F" w:rsidP="00090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8F" w:rsidRDefault="0049598F" w:rsidP="00090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8F" w:rsidRDefault="0049598F" w:rsidP="00090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8F" w:rsidRDefault="0049598F" w:rsidP="00090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8F" w:rsidRDefault="0049598F" w:rsidP="00090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8F" w:rsidRDefault="0049598F" w:rsidP="00090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8F" w:rsidRDefault="0049598F" w:rsidP="00090A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49598F" w:rsidRDefault="0049598F" w:rsidP="00090A29">
            <w:pPr>
              <w:pStyle w:val="NoSpacing"/>
              <w:jc w:val="center"/>
            </w:pPr>
          </w:p>
          <w:p w:rsidR="00A35538" w:rsidRDefault="00A35538" w:rsidP="00090A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7275" w:dyaOrig="4605">
                <v:shape id="_x0000_i1029" type="#_x0000_t75" style="width:294.75pt;height:186.75pt" o:ole="">
                  <v:imagedata r:id="rId14" o:title=""/>
                </v:shape>
                <o:OLEObject Type="Embed" ProgID="PBrush" ShapeID="_x0000_i1029" DrawAspect="Content" ObjectID="_1472131376" r:id="rId15"/>
              </w:object>
            </w:r>
          </w:p>
        </w:tc>
      </w:tr>
    </w:tbl>
    <w:p w:rsidR="0049598F" w:rsidRDefault="0049598F" w:rsidP="00801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C91" w:rsidRDefault="009B1C91" w:rsidP="00801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C91" w:rsidRDefault="00842987" w:rsidP="008016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987">
        <w:rPr>
          <w:rFonts w:ascii="Times New Roman" w:hAnsi="Times New Roman" w:cs="Times New Roman"/>
          <w:b/>
          <w:sz w:val="24"/>
          <w:szCs w:val="24"/>
          <w:u w:val="single"/>
        </w:rPr>
        <w:t>Teacher Notes:</w:t>
      </w:r>
    </w:p>
    <w:p w:rsidR="002C4BFB" w:rsidRDefault="002C4BFB" w:rsidP="008016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activity is adapted from an activity featured in the Math II Curriculum on the Math Vision Project website.</w:t>
      </w:r>
    </w:p>
    <w:p w:rsidR="002C4BFB" w:rsidRPr="002C4BFB" w:rsidRDefault="002C4BFB" w:rsidP="00801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72E2" w:rsidRPr="005E72E2" w:rsidRDefault="005E72E2" w:rsidP="008016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1C0466">
        <w:rPr>
          <w:rFonts w:ascii="Times New Roman" w:hAnsi="Times New Roman" w:cs="Times New Roman"/>
          <w:sz w:val="24"/>
          <w:szCs w:val="24"/>
        </w:rPr>
        <w:t>7</w:t>
      </w:r>
      <w:r w:rsidR="001C0466" w:rsidRPr="001C04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0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grade, students learn to </w:t>
      </w:r>
      <w:r w:rsidR="001C0466">
        <w:rPr>
          <w:rFonts w:ascii="Times New Roman" w:hAnsi="Times New Roman" w:cs="Times New Roman"/>
          <w:sz w:val="24"/>
          <w:szCs w:val="24"/>
        </w:rPr>
        <w:t>represent sample spaces using organized lists, trees and tables.   In 8</w:t>
      </w:r>
      <w:r w:rsidR="001C0466" w:rsidRPr="001C04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0466">
        <w:rPr>
          <w:rFonts w:ascii="Times New Roman" w:hAnsi="Times New Roman" w:cs="Times New Roman"/>
          <w:sz w:val="24"/>
          <w:szCs w:val="24"/>
        </w:rPr>
        <w:t xml:space="preserve"> grade and Algebra I / Math I, students work with bivariate categorical data to find relative and marginal frequencies.   Algebra II/ Math II students build on prior learning in their work on the Conditional Probability stan</w:t>
      </w:r>
      <w:r w:rsidR="004C2925">
        <w:rPr>
          <w:rFonts w:ascii="Times New Roman" w:hAnsi="Times New Roman" w:cs="Times New Roman"/>
          <w:sz w:val="24"/>
          <w:szCs w:val="24"/>
        </w:rPr>
        <w:t>dards.   While Venn Diagrams have</w:t>
      </w:r>
      <w:r w:rsidR="001C0466">
        <w:rPr>
          <w:rFonts w:ascii="Times New Roman" w:hAnsi="Times New Roman" w:cs="Times New Roman"/>
          <w:sz w:val="24"/>
          <w:szCs w:val="24"/>
        </w:rPr>
        <w:t xml:space="preserve"> been used as an organizational tool in the problems above, Venn Diagrams are not explicitly mentioned in the Common Core Standards.</w:t>
      </w:r>
    </w:p>
    <w:p w:rsidR="005E72E2" w:rsidRDefault="005E72E2" w:rsidP="008016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72E2" w:rsidRPr="005E72E2" w:rsidRDefault="005E72E2" w:rsidP="0080164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Given events A and B.</w:t>
      </w:r>
      <w:proofErr w:type="gramEnd"/>
    </w:p>
    <w:p w:rsidR="00842987" w:rsidRDefault="00842987" w:rsidP="00801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2987" w:rsidRDefault="00842987" w:rsidP="0080164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 S.CP.3 focuses on the conditional probability rule:           </w:t>
      </w:r>
      <w:r w:rsidR="004C2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P</m:t>
        </m:r>
        <m:d>
          <m:dPr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A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B)=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P(A∩B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P(B)</m:t>
            </m:r>
          </m:den>
        </m:f>
      </m:oMath>
    </w:p>
    <w:p w:rsidR="00842987" w:rsidRDefault="00842987" w:rsidP="0080164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42987" w:rsidRDefault="00842987" w:rsidP="0080164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If  both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sides of this equation are multiplied by P(B),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∙ P</m:t>
        </m:r>
        <m:d>
          <m:dPr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A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B)=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P(A∩B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∙  P(B)</m:t>
        </m:r>
      </m:oMath>
    </w:p>
    <w:p w:rsidR="00842987" w:rsidRDefault="00842987" w:rsidP="0080164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42987" w:rsidRDefault="00842987" w:rsidP="0080164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E72E2">
        <w:rPr>
          <w:rFonts w:ascii="Times New Roman" w:eastAsiaTheme="minorEastAsia" w:hAnsi="Times New Roman" w:cs="Times New Roman"/>
          <w:sz w:val="24"/>
          <w:szCs w:val="24"/>
        </w:rPr>
        <w:t>result is:</w:t>
      </w:r>
      <w:r w:rsidR="005E72E2">
        <w:rPr>
          <w:rFonts w:ascii="Times New Roman" w:eastAsiaTheme="minorEastAsia" w:hAnsi="Times New Roman" w:cs="Times New Roman"/>
          <w:sz w:val="24"/>
          <w:szCs w:val="24"/>
        </w:rPr>
        <w:tab/>
      </w:r>
      <w:r w:rsidR="005E72E2">
        <w:rPr>
          <w:rFonts w:ascii="Times New Roman" w:eastAsiaTheme="minorEastAsia" w:hAnsi="Times New Roman" w:cs="Times New Roman"/>
          <w:sz w:val="24"/>
          <w:szCs w:val="24"/>
        </w:rPr>
        <w:tab/>
      </w:r>
      <w:r w:rsidR="005E72E2">
        <w:rPr>
          <w:rFonts w:ascii="Times New Roman" w:eastAsiaTheme="minorEastAsia" w:hAnsi="Times New Roman" w:cs="Times New Roman"/>
          <w:sz w:val="24"/>
          <w:szCs w:val="24"/>
        </w:rPr>
        <w:tab/>
      </w:r>
      <w:r w:rsidR="005E72E2">
        <w:rPr>
          <w:rFonts w:ascii="Times New Roman" w:eastAsiaTheme="minorEastAsia" w:hAnsi="Times New Roman" w:cs="Times New Roman"/>
          <w:sz w:val="24"/>
          <w:szCs w:val="24"/>
        </w:rPr>
        <w:tab/>
      </w:r>
      <w:r w:rsidR="005E72E2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∙ P</m:t>
        </m:r>
        <m:d>
          <m:dPr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A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B)=  P(A∩B)</m:t>
        </m:r>
      </m:oMath>
      <w:r w:rsidR="005E72E2">
        <w:rPr>
          <w:rFonts w:ascii="Times New Roman" w:eastAsiaTheme="minorEastAsia" w:hAnsi="Times New Roman" w:cs="Times New Roman"/>
          <w:sz w:val="24"/>
          <w:szCs w:val="24"/>
        </w:rPr>
        <w:t>’</w:t>
      </w:r>
    </w:p>
    <w:p w:rsidR="005E72E2" w:rsidRDefault="005E72E2" w:rsidP="0080164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5E72E2" w:rsidRDefault="005E72E2" w:rsidP="0080164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OR</w:t>
      </w:r>
    </w:p>
    <w:p w:rsidR="005E72E2" w:rsidRDefault="005E72E2" w:rsidP="0080164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5E72E2" w:rsidRDefault="005E72E2" w:rsidP="0080164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</m:t>
        </m:r>
        <m:r>
          <w:rPr>
            <w:rFonts w:ascii="Cambria Math" w:hAnsi="Cambria Math" w:cs="Times New Roman"/>
            <w:sz w:val="24"/>
            <w:szCs w:val="24"/>
          </w:rPr>
          <m:t xml:space="preserve">P(A∩B)=  </m:t>
        </m:r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∙ P</m:t>
        </m:r>
        <m:d>
          <m:dPr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A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B)</m:t>
        </m:r>
      </m:oMath>
    </w:p>
    <w:p w:rsidR="005E72E2" w:rsidRDefault="005E72E2" w:rsidP="0080164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5E72E2" w:rsidRDefault="005E72E2" w:rsidP="0080164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This is the general multiplication rule mentioned in Standard S.CP.8 (+),</w:t>
      </w:r>
    </w:p>
    <w:p w:rsidR="005E72E2" w:rsidRDefault="005E72E2" w:rsidP="0080164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5E72E2" w:rsidRDefault="005E72E2" w:rsidP="0080164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5E72E2" w:rsidRDefault="005E72E2" w:rsidP="0080164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events A and B are independent, then Standard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S.CP.3  reminds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us that   P(A) = P(A | B) .</w:t>
      </w:r>
    </w:p>
    <w:p w:rsidR="005E72E2" w:rsidRDefault="005E72E2" w:rsidP="0080164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5E72E2" w:rsidRDefault="005E72E2" w:rsidP="0080164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Substituting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A) in for P(A|B) in the general multiplication rule, we get the multiplication rule for two independent events.</w:t>
      </w:r>
    </w:p>
    <w:p w:rsidR="005E72E2" w:rsidRDefault="005E72E2" w:rsidP="0080164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5E72E2" w:rsidRDefault="005E72E2" w:rsidP="0080164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</m:t>
        </m:r>
        <m:r>
          <w:rPr>
            <w:rFonts w:ascii="Cambria Math" w:hAnsi="Cambria Math" w:cs="Times New Roman"/>
            <w:sz w:val="24"/>
            <w:szCs w:val="24"/>
          </w:rPr>
          <m:t xml:space="preserve">P(A∩B)=  </m:t>
        </m:r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∙ P(A)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5E72E2" w:rsidRDefault="005E72E2" w:rsidP="0080164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5E72E2" w:rsidRDefault="005E72E2" w:rsidP="005E72E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OR</w:t>
      </w:r>
    </w:p>
    <w:p w:rsidR="005E72E2" w:rsidRDefault="005E72E2" w:rsidP="005E72E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5E72E2" w:rsidRDefault="005E72E2" w:rsidP="005E72E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</m:t>
        </m:r>
        <m:r>
          <w:rPr>
            <w:rFonts w:ascii="Cambria Math" w:hAnsi="Cambria Math" w:cs="Times New Roman"/>
            <w:sz w:val="24"/>
            <w:szCs w:val="24"/>
          </w:rPr>
          <m:t xml:space="preserve">P(A∩B)=  </m:t>
        </m:r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∙ P(B)</m:t>
        </m:r>
      </m:oMath>
    </w:p>
    <w:p w:rsidR="005E72E2" w:rsidRDefault="005E72E2" w:rsidP="00801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72E2" w:rsidRPr="00801646" w:rsidRDefault="005E72E2" w:rsidP="008016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</w:t>
      </w:r>
      <w:r w:rsidR="001C0466">
        <w:rPr>
          <w:rFonts w:ascii="Times New Roman" w:hAnsi="Times New Roman" w:cs="Times New Roman"/>
          <w:sz w:val="24"/>
          <w:szCs w:val="24"/>
        </w:rPr>
        <w:t xml:space="preserve"> the rule mentioned in S.CP.2.  It provides another method for testing to see if two events are independent.   If </w:t>
      </w:r>
      <w:proofErr w:type="gramStart"/>
      <w:r w:rsidR="001C0466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="001C0466">
        <w:rPr>
          <w:rFonts w:ascii="Times New Roman" w:hAnsi="Times New Roman" w:cs="Times New Roman"/>
          <w:sz w:val="24"/>
          <w:szCs w:val="24"/>
        </w:rPr>
        <w:t xml:space="preserve">A) times the P(B) equals </w:t>
      </w:r>
      <m:oMath>
        <m:r>
          <w:rPr>
            <w:rFonts w:ascii="Cambria Math" w:hAnsi="Cambria Math" w:cs="Times New Roman"/>
            <w:sz w:val="24"/>
            <w:szCs w:val="24"/>
          </w:rPr>
          <m:t>P(A∩B)</m:t>
        </m:r>
      </m:oMath>
      <w:r w:rsidR="001C0466">
        <w:rPr>
          <w:rFonts w:ascii="Times New Roman" w:eastAsiaTheme="minorEastAsia" w:hAnsi="Times New Roman" w:cs="Times New Roman"/>
          <w:sz w:val="24"/>
          <w:szCs w:val="24"/>
        </w:rPr>
        <w:t>, then events A and B are independent.</w:t>
      </w:r>
    </w:p>
    <w:sectPr w:rsidR="005E72E2" w:rsidRPr="00801646" w:rsidSect="006E7DE8">
      <w:pgSz w:w="15840" w:h="12240" w:orient="landscape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45B9"/>
    <w:multiLevelType w:val="hybridMultilevel"/>
    <w:tmpl w:val="DB24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D1110"/>
    <w:multiLevelType w:val="hybridMultilevel"/>
    <w:tmpl w:val="09CC1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46"/>
    <w:rsid w:val="00053ECE"/>
    <w:rsid w:val="00081579"/>
    <w:rsid w:val="000D2E5D"/>
    <w:rsid w:val="000E0CE5"/>
    <w:rsid w:val="00116694"/>
    <w:rsid w:val="00191DB9"/>
    <w:rsid w:val="001C0466"/>
    <w:rsid w:val="001C0BF8"/>
    <w:rsid w:val="00223FC6"/>
    <w:rsid w:val="002C4BFB"/>
    <w:rsid w:val="003B0A16"/>
    <w:rsid w:val="004641FB"/>
    <w:rsid w:val="0049598F"/>
    <w:rsid w:val="004C2925"/>
    <w:rsid w:val="005E72E2"/>
    <w:rsid w:val="00680F85"/>
    <w:rsid w:val="006E7DE8"/>
    <w:rsid w:val="00801646"/>
    <w:rsid w:val="00842987"/>
    <w:rsid w:val="009B1C91"/>
    <w:rsid w:val="00A35538"/>
    <w:rsid w:val="00C92BB1"/>
    <w:rsid w:val="00DA6AA2"/>
    <w:rsid w:val="00DD0ABC"/>
    <w:rsid w:val="00F7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646"/>
    <w:pPr>
      <w:spacing w:after="0" w:line="240" w:lineRule="auto"/>
    </w:pPr>
  </w:style>
  <w:style w:type="table" w:styleId="TableGrid">
    <w:name w:val="Table Grid"/>
    <w:basedOn w:val="TableNormal"/>
    <w:uiPriority w:val="59"/>
    <w:rsid w:val="0080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C9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1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646"/>
    <w:pPr>
      <w:spacing w:after="0" w:line="240" w:lineRule="auto"/>
    </w:pPr>
  </w:style>
  <w:style w:type="table" w:styleId="TableGrid">
    <w:name w:val="Table Grid"/>
    <w:basedOn w:val="TableNormal"/>
    <w:uiPriority w:val="59"/>
    <w:rsid w:val="0080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C9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1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LTHS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jbrenson</cp:lastModifiedBy>
  <cp:revision>6</cp:revision>
  <cp:lastPrinted>2014-06-03T00:49:00Z</cp:lastPrinted>
  <dcterms:created xsi:type="dcterms:W3CDTF">2014-06-03T00:48:00Z</dcterms:created>
  <dcterms:modified xsi:type="dcterms:W3CDTF">2014-09-13T21:36:00Z</dcterms:modified>
</cp:coreProperties>
</file>