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1" w:rsidRPr="00431699" w:rsidRDefault="003700FD" w:rsidP="003700FD">
      <w:pPr>
        <w:pStyle w:val="NoSpacing"/>
        <w:jc w:val="center"/>
        <w:rPr>
          <w:b/>
          <w:sz w:val="32"/>
          <w:szCs w:val="32"/>
        </w:rPr>
      </w:pPr>
      <w:proofErr w:type="spellStart"/>
      <w:r w:rsidRPr="00431699">
        <w:rPr>
          <w:b/>
          <w:sz w:val="32"/>
          <w:szCs w:val="32"/>
        </w:rPr>
        <w:t>Kamataka</w:t>
      </w:r>
      <w:proofErr w:type="spellEnd"/>
    </w:p>
    <w:p w:rsidR="003700FD" w:rsidRDefault="00431699" w:rsidP="003700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5418C">
        <w:rPr>
          <w:sz w:val="24"/>
          <w:szCs w:val="24"/>
        </w:rPr>
        <w:t>Adapted</w:t>
      </w:r>
      <w:bookmarkStart w:id="0" w:name="_GoBack"/>
      <w:bookmarkEnd w:id="0"/>
      <w:r w:rsidR="003700FD">
        <w:rPr>
          <w:sz w:val="24"/>
          <w:szCs w:val="24"/>
        </w:rPr>
        <w:t xml:space="preserve"> from PARCC </w:t>
      </w:r>
      <w:r>
        <w:rPr>
          <w:sz w:val="24"/>
          <w:szCs w:val="24"/>
        </w:rPr>
        <w:t xml:space="preserve">Item Development </w:t>
      </w:r>
      <w:r w:rsidR="003700FD">
        <w:rPr>
          <w:sz w:val="24"/>
          <w:szCs w:val="24"/>
        </w:rPr>
        <w:t xml:space="preserve">ITN </w:t>
      </w:r>
      <w:r>
        <w:rPr>
          <w:sz w:val="24"/>
          <w:szCs w:val="24"/>
        </w:rPr>
        <w:t xml:space="preserve">2013-31 </w:t>
      </w:r>
      <w:r w:rsidR="003700FD">
        <w:rPr>
          <w:sz w:val="24"/>
          <w:szCs w:val="24"/>
        </w:rPr>
        <w:t>Appendix F</w:t>
      </w:r>
      <w:r>
        <w:rPr>
          <w:sz w:val="24"/>
          <w:szCs w:val="24"/>
        </w:rPr>
        <w:t>)</w:t>
      </w:r>
    </w:p>
    <w:p w:rsidR="003700FD" w:rsidRPr="003700FD" w:rsidRDefault="003700FD" w:rsidP="003700FD">
      <w:pPr>
        <w:pStyle w:val="NoSpacing"/>
        <w:jc w:val="center"/>
        <w:rPr>
          <w:sz w:val="24"/>
          <w:szCs w:val="24"/>
        </w:rPr>
      </w:pPr>
    </w:p>
    <w:p w:rsidR="003700FD" w:rsidRDefault="003700FD" w:rsidP="003700F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Kamataka</w:t>
      </w:r>
      <w:proofErr w:type="spellEnd"/>
      <w:r>
        <w:rPr>
          <w:sz w:val="24"/>
          <w:szCs w:val="24"/>
        </w:rPr>
        <w:t xml:space="preserve"> is a state in southwest India.  The accompanying table is agricultural data on fertilizer use and grain</w:t>
      </w:r>
      <w:r w:rsidR="009929D2">
        <w:rPr>
          <w:sz w:val="24"/>
          <w:szCs w:val="24"/>
        </w:rPr>
        <w:t xml:space="preserve"> crop yield in </w:t>
      </w:r>
      <w:proofErr w:type="spellStart"/>
      <w:r w:rsidR="009929D2">
        <w:rPr>
          <w:sz w:val="24"/>
          <w:szCs w:val="24"/>
        </w:rPr>
        <w:t>Kamataka</w:t>
      </w:r>
      <w:proofErr w:type="spellEnd"/>
      <w:r w:rsidR="009929D2">
        <w:rPr>
          <w:sz w:val="24"/>
          <w:szCs w:val="24"/>
        </w:rPr>
        <w:t>.  Ferti</w:t>
      </w:r>
      <w:r>
        <w:rPr>
          <w:sz w:val="24"/>
          <w:szCs w:val="24"/>
        </w:rPr>
        <w:t xml:space="preserve">lizer is measured in 100,000 tons.   Crop yield is measured in 10 kilograms per hectare. </w:t>
      </w:r>
    </w:p>
    <w:p w:rsidR="003700FD" w:rsidRDefault="003700FD" w:rsidP="003700FD">
      <w:pPr>
        <w:pStyle w:val="NoSpacing"/>
        <w:rPr>
          <w:sz w:val="24"/>
          <w:szCs w:val="24"/>
        </w:rPr>
      </w:pPr>
    </w:p>
    <w:p w:rsidR="003700FD" w:rsidRDefault="003700FD" w:rsidP="00370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</w:t>
      </w:r>
      <w:r w:rsidR="009929D2">
        <w:rPr>
          <w:sz w:val="24"/>
          <w:szCs w:val="24"/>
        </w:rPr>
        <w:t>h</w:t>
      </w:r>
      <w:r>
        <w:rPr>
          <w:sz w:val="24"/>
          <w:szCs w:val="24"/>
        </w:rPr>
        <w:t>out the years over which these data were gathered, the amount of land in cultivation remained fairly constant.</w:t>
      </w:r>
    </w:p>
    <w:p w:rsidR="003700FD" w:rsidRDefault="003700FD" w:rsidP="003700FD">
      <w:pPr>
        <w:pStyle w:val="NoSpacing"/>
        <w:rPr>
          <w:sz w:val="24"/>
          <w:szCs w:val="24"/>
        </w:rPr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792"/>
      </w:tblGrid>
      <w:tr w:rsidR="00431699" w:rsidTr="00431699">
        <w:tc>
          <w:tcPr>
            <w:tcW w:w="4950" w:type="dxa"/>
          </w:tcPr>
          <w:p w:rsidR="00431699" w:rsidRDefault="00431699" w:rsidP="00431699">
            <w:pPr>
              <w:pStyle w:val="NoSpacing"/>
              <w:jc w:val="center"/>
              <w:rPr>
                <w:sz w:val="24"/>
                <w:szCs w:val="24"/>
              </w:rPr>
            </w:pPr>
            <w:r>
              <w:object w:dxaOrig="4395" w:dyaOrig="7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356.25pt" o:ole="">
                  <v:imagedata r:id="rId6" o:title=""/>
                </v:shape>
                <o:OLEObject Type="Embed" ProgID="PBrush" ShapeID="_x0000_i1025" DrawAspect="Content" ObjectID="_1459434293" r:id="rId7"/>
              </w:object>
            </w:r>
          </w:p>
        </w:tc>
        <w:tc>
          <w:tcPr>
            <w:tcW w:w="5670" w:type="dxa"/>
          </w:tcPr>
          <w:p w:rsidR="00431699" w:rsidRDefault="00431699" w:rsidP="003700FD">
            <w:pPr>
              <w:pStyle w:val="NoSpacing"/>
              <w:rPr>
                <w:sz w:val="24"/>
                <w:szCs w:val="24"/>
              </w:rPr>
            </w:pPr>
          </w:p>
          <w:tbl>
            <w:tblPr>
              <w:tblStyle w:val="TableGrid"/>
              <w:tblW w:w="3928" w:type="dxa"/>
              <w:jc w:val="center"/>
              <w:tblInd w:w="1638" w:type="dxa"/>
              <w:tblLook w:val="04A0" w:firstRow="1" w:lastRow="0" w:firstColumn="1" w:lastColumn="0" w:noHBand="0" w:noVBand="1"/>
            </w:tblPr>
            <w:tblGrid>
              <w:gridCol w:w="1169"/>
              <w:gridCol w:w="1346"/>
              <w:gridCol w:w="1413"/>
            </w:tblGrid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Pr="003700FD" w:rsidRDefault="00431699" w:rsidP="0075207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00FD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346" w:type="dxa"/>
                </w:tcPr>
                <w:p w:rsidR="00431699" w:rsidRPr="003700FD" w:rsidRDefault="00431699" w:rsidP="0075207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00FD">
                    <w:rPr>
                      <w:b/>
                      <w:sz w:val="24"/>
                      <w:szCs w:val="24"/>
                    </w:rPr>
                    <w:t>Fertilizer</w:t>
                  </w:r>
                </w:p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(X 10</w:t>
                  </w:r>
                  <w:r w:rsidRPr="003700FD">
                    <w:rPr>
                      <w:sz w:val="24"/>
                      <w:szCs w:val="24"/>
                      <w:vertAlign w:val="superscript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tons)</w:t>
                  </w:r>
                </w:p>
              </w:tc>
              <w:tc>
                <w:tcPr>
                  <w:tcW w:w="1413" w:type="dxa"/>
                </w:tcPr>
                <w:p w:rsidR="00431699" w:rsidRPr="003700FD" w:rsidRDefault="00431699" w:rsidP="0075207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00FD">
                    <w:rPr>
                      <w:b/>
                      <w:sz w:val="24"/>
                      <w:szCs w:val="24"/>
                    </w:rPr>
                    <w:t>Yield</w:t>
                  </w:r>
                </w:p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(X 10 kg/ha)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1956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0.06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52.3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0.38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45.8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19.1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1974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1.95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1975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2.32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1976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2.03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1977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2.08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79.2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3.72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101.7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3.59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3.54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91.9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1982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3.87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102.2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3.83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85.8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4.87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102.1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95.4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5.55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81.19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5.66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97.03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5.58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83.57</w:t>
                  </w:r>
                </w:p>
              </w:tc>
            </w:tr>
            <w:tr w:rsidR="00431699" w:rsidTr="00431699">
              <w:trPr>
                <w:jc w:val="center"/>
              </w:trPr>
              <w:tc>
                <w:tcPr>
                  <w:tcW w:w="1169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1989</w:t>
                  </w:r>
                </w:p>
              </w:tc>
              <w:tc>
                <w:tcPr>
                  <w:tcW w:w="1346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5.75</w:t>
                  </w:r>
                </w:p>
              </w:tc>
              <w:tc>
                <w:tcPr>
                  <w:tcW w:w="1413" w:type="dxa"/>
                </w:tcPr>
                <w:p w:rsidR="00431699" w:rsidRDefault="00431699" w:rsidP="0075207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93.5</w:t>
                  </w:r>
                </w:p>
              </w:tc>
            </w:tr>
          </w:tbl>
          <w:p w:rsidR="00431699" w:rsidRDefault="00431699" w:rsidP="0043169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3700FD" w:rsidRDefault="003700FD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431699" w:rsidRDefault="00431699" w:rsidP="003700FD">
      <w:pPr>
        <w:pStyle w:val="NoSpacing"/>
        <w:rPr>
          <w:sz w:val="24"/>
          <w:szCs w:val="24"/>
        </w:rPr>
      </w:pPr>
    </w:p>
    <w:p w:rsidR="009929D2" w:rsidRDefault="009929D2" w:rsidP="009929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a mathematical function that models the relationship between fertilizer use and grain crop yield.  Show your work.</w:t>
      </w: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B875EB" w:rsidRDefault="00B875EB" w:rsidP="00431699">
      <w:pPr>
        <w:pStyle w:val="NoSpacing"/>
        <w:ind w:left="720"/>
        <w:rPr>
          <w:sz w:val="24"/>
          <w:szCs w:val="24"/>
        </w:rPr>
      </w:pPr>
    </w:p>
    <w:p w:rsidR="00B875EB" w:rsidRDefault="00B875EB" w:rsidP="00431699">
      <w:pPr>
        <w:pStyle w:val="NoSpacing"/>
        <w:ind w:left="720"/>
        <w:rPr>
          <w:sz w:val="24"/>
          <w:szCs w:val="24"/>
        </w:rPr>
      </w:pPr>
    </w:p>
    <w:p w:rsidR="00B875EB" w:rsidRDefault="00B875EB" w:rsidP="00431699">
      <w:pPr>
        <w:pStyle w:val="NoSpacing"/>
        <w:ind w:left="720"/>
        <w:rPr>
          <w:sz w:val="24"/>
          <w:szCs w:val="24"/>
        </w:rPr>
      </w:pPr>
    </w:p>
    <w:p w:rsidR="00B875EB" w:rsidRDefault="00B875EB" w:rsidP="00431699">
      <w:pPr>
        <w:pStyle w:val="NoSpacing"/>
        <w:ind w:left="720"/>
        <w:rPr>
          <w:sz w:val="24"/>
          <w:szCs w:val="24"/>
        </w:rPr>
      </w:pPr>
    </w:p>
    <w:p w:rsidR="00B875EB" w:rsidRDefault="00B875EB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9929D2" w:rsidRDefault="009929D2" w:rsidP="009929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function you have chosen to predict the yield if the fertilizer use is 500,000 tons.</w:t>
      </w: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9929D2" w:rsidRDefault="009929D2" w:rsidP="009929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precise is the prediction you made in Questions (b)?  Explain.</w:t>
      </w: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431699" w:rsidRDefault="00431699" w:rsidP="00431699">
      <w:pPr>
        <w:pStyle w:val="NoSpacing"/>
        <w:ind w:left="720"/>
        <w:rPr>
          <w:sz w:val="24"/>
          <w:szCs w:val="24"/>
        </w:rPr>
      </w:pPr>
    </w:p>
    <w:p w:rsidR="009929D2" w:rsidRPr="003700FD" w:rsidRDefault="009929D2" w:rsidP="009929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the data and your function, what advice can you offer the government of </w:t>
      </w:r>
      <w:proofErr w:type="spellStart"/>
      <w:r>
        <w:rPr>
          <w:sz w:val="24"/>
          <w:szCs w:val="24"/>
        </w:rPr>
        <w:t>Kamataka</w:t>
      </w:r>
      <w:proofErr w:type="spellEnd"/>
      <w:r>
        <w:rPr>
          <w:sz w:val="24"/>
          <w:szCs w:val="24"/>
        </w:rPr>
        <w:t xml:space="preserve"> about fertilizer use?  Explain.</w:t>
      </w:r>
    </w:p>
    <w:sectPr w:rsidR="009929D2" w:rsidRPr="0037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A2B"/>
    <w:multiLevelType w:val="hybridMultilevel"/>
    <w:tmpl w:val="B9DCB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D"/>
    <w:rsid w:val="0035418C"/>
    <w:rsid w:val="003700FD"/>
    <w:rsid w:val="00431699"/>
    <w:rsid w:val="009024AA"/>
    <w:rsid w:val="009929D2"/>
    <w:rsid w:val="00B875EB"/>
    <w:rsid w:val="00C943AD"/>
    <w:rsid w:val="00E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0FD"/>
    <w:pPr>
      <w:spacing w:after="0" w:line="240" w:lineRule="auto"/>
    </w:pPr>
  </w:style>
  <w:style w:type="table" w:styleId="TableGrid">
    <w:name w:val="Table Grid"/>
    <w:basedOn w:val="TableNormal"/>
    <w:uiPriority w:val="59"/>
    <w:rsid w:val="0037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0FD"/>
    <w:pPr>
      <w:spacing w:after="0" w:line="240" w:lineRule="auto"/>
    </w:pPr>
  </w:style>
  <w:style w:type="table" w:styleId="TableGrid">
    <w:name w:val="Table Grid"/>
    <w:basedOn w:val="TableNormal"/>
    <w:uiPriority w:val="59"/>
    <w:rsid w:val="0037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2</cp:revision>
  <dcterms:created xsi:type="dcterms:W3CDTF">2014-04-16T16:38:00Z</dcterms:created>
  <dcterms:modified xsi:type="dcterms:W3CDTF">2014-04-19T22:38:00Z</dcterms:modified>
</cp:coreProperties>
</file>